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enterText"/>
        <w:bidi w:val="0"/>
        <w:spacing w:before="0" w:after="85"/>
        <w:jc w:val="center"/>
        <w:rPr/>
      </w:pPr>
      <w:r>
        <w:rPr>
          <w:rStyle w:val="SmallRed"/>
        </w:rPr>
        <w:t>PLANTILLA ESTÁNDAR. TODO EL TEXTO EN ROJO DEBE COMPLETARSE, ELIMINARSE O ADAPTARSE AL CASO CONCRETO ANTES DE PRESENTAR EL ESCRITO.</w:t>
      </w:r>
    </w:p>
    <w:p>
      <w:pPr>
        <w:pStyle w:val="NormalText"/>
        <w:bidi w:val="0"/>
        <w:spacing w:lineRule="auto" w:line="276" w:before="0" w:after="102"/>
        <w:jc w:val="both"/>
        <w:rPr/>
      </w:pPr>
      <w:r>
        <w:rPr/>
      </w:r>
    </w:p>
    <w:p>
      <w:pPr>
        <w:pStyle w:val="CenterText"/>
        <w:bidi w:val="0"/>
        <w:spacing w:before="0" w:after="85"/>
        <w:jc w:val="center"/>
        <w:rPr/>
      </w:pPr>
      <w:r>
        <w:rPr>
          <w:rStyle w:val="BoldText"/>
        </w:rPr>
        <w:t xml:space="preserve">AL SERVICIO COMÚN DE EJECUCIÓN DE </w:t>
      </w:r>
      <w:r>
        <w:rPr>
          <w:rStyle w:val="EditableRed"/>
        </w:rPr>
        <w:t>[LOCALIDAD]</w:t>
      </w:r>
    </w:p>
    <w:p>
      <w:pPr>
        <w:pStyle w:val="CenterText"/>
        <w:bidi w:val="0"/>
        <w:spacing w:before="0" w:after="85"/>
        <w:jc w:val="center"/>
        <w:rPr/>
      </w:pPr>
      <w:r>
        <w:rPr>
          <w:rStyle w:val="BoldText"/>
        </w:rPr>
        <w:t xml:space="preserve">PARA EL/LA </w:t>
      </w:r>
      <w:r>
        <w:rPr>
          <w:rStyle w:val="EditableRed"/>
        </w:rPr>
        <w:t>[JUZGADO / SECCIÓN / TRIBUNAL QUE CONOCE DEL PROCEDIMIENTO]</w:t>
      </w:r>
    </w:p>
    <w:p>
      <w:pPr>
        <w:pStyle w:val="NormalText"/>
        <w:bidi w:val="0"/>
        <w:spacing w:lineRule="auto" w:line="276" w:before="0" w:after="102"/>
        <w:jc w:val="both"/>
        <w:rPr/>
      </w:pPr>
      <w:r>
        <w:rPr/>
      </w:r>
    </w:p>
    <w:p>
      <w:pPr>
        <w:pStyle w:val="LeftText"/>
        <w:bidi w:val="0"/>
        <w:spacing w:before="0" w:after="57"/>
        <w:jc w:val="left"/>
        <w:rPr/>
      </w:pPr>
      <w:r>
        <w:rPr>
          <w:rStyle w:val="BoldText"/>
        </w:rPr>
        <w:t xml:space="preserve">PROCEDIMIENTO: </w:t>
      </w:r>
      <w:r>
        <w:rPr>
          <w:rStyle w:val="EditableRed"/>
        </w:rPr>
        <w:t>[TIPO Y NÚMERO DE PROCEDIMIENTO]</w:t>
      </w:r>
    </w:p>
    <w:p>
      <w:pPr>
        <w:pStyle w:val="LeftText"/>
        <w:bidi w:val="0"/>
        <w:spacing w:before="0" w:after="57"/>
        <w:jc w:val="left"/>
        <w:rPr/>
      </w:pPr>
      <w:r>
        <w:rPr>
          <w:rStyle w:val="BoldText"/>
        </w:rPr>
        <w:t xml:space="preserve">N.I.G.: </w:t>
      </w:r>
      <w:r>
        <w:rPr>
          <w:rStyle w:val="EditableRed"/>
        </w:rPr>
        <w:t>[NÚMERO NIG]</w:t>
      </w:r>
    </w:p>
    <w:p>
      <w:pPr>
        <w:pStyle w:val="LeftText"/>
        <w:bidi w:val="0"/>
        <w:spacing w:before="0" w:after="57"/>
        <w:jc w:val="left"/>
        <w:rPr/>
      </w:pPr>
      <w:r>
        <w:rPr>
          <w:rStyle w:val="BoldText"/>
        </w:rPr>
        <w:t xml:space="preserve">PARTE EJECUTANTE / DEMANDANTE: </w:t>
      </w:r>
      <w:r>
        <w:rPr>
          <w:rStyle w:val="EditableRed"/>
        </w:rPr>
        <w:t>[NOMBRE O DENOMINACIÓN SOCIAL]</w:t>
      </w:r>
    </w:p>
    <w:p>
      <w:pPr>
        <w:pStyle w:val="LeftText"/>
        <w:bidi w:val="0"/>
        <w:spacing w:before="0" w:after="57"/>
        <w:jc w:val="left"/>
        <w:rPr/>
      </w:pPr>
      <w:r>
        <w:rPr>
          <w:rStyle w:val="BoldText"/>
        </w:rPr>
        <w:t xml:space="preserve">PARTE EJECUTADA / DEMANDADA: </w:t>
      </w:r>
      <w:r>
        <w:rPr>
          <w:rStyle w:val="EditableRed"/>
        </w:rPr>
        <w:t>[NOMBRE/S]</w:t>
      </w:r>
    </w:p>
    <w:p>
      <w:pPr>
        <w:pStyle w:val="LeftText"/>
        <w:bidi w:val="0"/>
        <w:spacing w:before="0" w:after="57"/>
        <w:jc w:val="left"/>
        <w:rPr/>
      </w:pPr>
      <w:r>
        <w:rPr>
          <w:rStyle w:val="BoldText"/>
        </w:rPr>
        <w:t xml:space="preserve">VIVIENDA OBJETO DEL LANZAMIENTO: </w:t>
      </w:r>
      <w:r>
        <w:rPr>
          <w:rStyle w:val="EditableRed"/>
        </w:rPr>
        <w:t>[DIRECCIÓN COMPLETA]</w:t>
      </w:r>
    </w:p>
    <w:p>
      <w:pPr>
        <w:pStyle w:val="NormalText"/>
        <w:bidi w:val="0"/>
        <w:spacing w:lineRule="auto" w:line="276" w:before="0" w:after="102"/>
        <w:jc w:val="both"/>
        <w:rPr/>
      </w:pPr>
      <w:r>
        <w:rPr/>
      </w:r>
    </w:p>
    <w:p>
      <w:pPr>
        <w:pStyle w:val="NormalText"/>
        <w:bidi w:val="0"/>
        <w:spacing w:lineRule="auto" w:line="276" w:before="0" w:after="102"/>
        <w:jc w:val="both"/>
        <w:rPr/>
      </w:pPr>
      <w:r>
        <w:rPr>
          <w:rStyle w:val="BoldText"/>
        </w:rPr>
        <w:t xml:space="preserve">D./D.ª </w:t>
      </w:r>
      <w:r>
        <w:rPr>
          <w:rStyle w:val="EditableRed"/>
        </w:rPr>
        <w:t>[NOMBRE Y APELLIDOS]</w:t>
      </w:r>
      <w:r>
        <w:rPr/>
        <w:t xml:space="preserve">, parte </w:t>
      </w:r>
      <w:r>
        <w:rPr>
          <w:rStyle w:val="EditableRed"/>
        </w:rPr>
        <w:t>[EJECUTADA/DEMANDADA/OCUPANTE, SEGÚN PROCEDA]</w:t>
      </w:r>
      <w:r>
        <w:rPr/>
        <w:t xml:space="preserve"> en las presentes actuaciones, con domicilio a efectos de notificaciones en </w:t>
      </w:r>
      <w:r>
        <w:rPr>
          <w:rStyle w:val="EditableRed"/>
        </w:rPr>
        <w:t>[DOMICILIO, SI PROCEDE]</w:t>
      </w:r>
      <w:r>
        <w:rPr/>
        <w:t xml:space="preserve">, comparece ante el Juzgado y, como mejor proceda en Derecho, </w:t>
      </w:r>
      <w:r>
        <w:rPr>
          <w:rStyle w:val="BoldText"/>
        </w:rPr>
        <w:t>DICE:</w:t>
      </w:r>
    </w:p>
    <w:p>
      <w:pPr>
        <w:pStyle w:val="NormalText"/>
        <w:bidi w:val="0"/>
        <w:spacing w:lineRule="auto" w:line="276" w:before="0" w:after="102"/>
        <w:jc w:val="both"/>
        <w:rPr/>
      </w:pPr>
      <w:r>
        <w:rPr/>
      </w:r>
    </w:p>
    <w:p>
      <w:pPr>
        <w:pStyle w:val="CenterText"/>
        <w:bidi w:val="0"/>
        <w:spacing w:before="0" w:after="85"/>
        <w:jc w:val="center"/>
        <w:rPr/>
      </w:pPr>
      <w:r>
        <w:rPr>
          <w:rStyle w:val="BoldText"/>
        </w:rPr>
        <w:t>SOLICITUD URGENTE DE SUSPENSIÓN DEL LANZAMIENTO POR VULNERABILIDAD Y, SUBSIDIARIAMENTE, DE APLAZAMIENTO AL AMPARO DEL ART. 704.1 LEC</w:t>
      </w:r>
    </w:p>
    <w:p>
      <w:pPr>
        <w:pStyle w:val="NormalText"/>
        <w:bidi w:val="0"/>
        <w:spacing w:lineRule="auto" w:line="276" w:before="0" w:after="102"/>
        <w:jc w:val="both"/>
        <w:rPr/>
      </w:pPr>
      <w:r>
        <w:rPr/>
      </w:r>
    </w:p>
    <w:p>
      <w:pPr>
        <w:pStyle w:val="CenterText"/>
        <w:bidi w:val="0"/>
        <w:spacing w:before="0" w:after="85"/>
        <w:jc w:val="center"/>
        <w:rPr/>
      </w:pPr>
      <w:r>
        <w:rPr>
          <w:rStyle w:val="BoldText"/>
        </w:rPr>
        <w:t>HECHOS</w:t>
      </w:r>
    </w:p>
    <w:p>
      <w:pPr>
        <w:pStyle w:val="NormalText"/>
        <w:bidi w:val="0"/>
        <w:spacing w:lineRule="auto" w:line="276" w:before="0" w:after="102"/>
        <w:jc w:val="both"/>
        <w:rPr/>
      </w:pPr>
      <w:r>
        <w:rPr>
          <w:rStyle w:val="BoldText"/>
        </w:rPr>
        <w:t xml:space="preserve">PRIMERO.- </w:t>
      </w:r>
      <w:r>
        <w:rPr/>
        <w:t xml:space="preserve">La vivienda sita en </w:t>
      </w:r>
      <w:r>
        <w:rPr>
          <w:rStyle w:val="EditableRed"/>
        </w:rPr>
        <w:t>[DIRECCIÓN COMPLETA]</w:t>
      </w:r>
      <w:r>
        <w:rPr/>
        <w:t xml:space="preserve"> constituye la </w:t>
      </w:r>
      <w:r>
        <w:rPr>
          <w:rStyle w:val="BoldText"/>
        </w:rPr>
        <w:t>vivienda habitual</w:t>
      </w:r>
      <w:r>
        <w:rPr/>
        <w:t xml:space="preserve"> de esta parte y de su unidad de convivencia.</w:t>
      </w:r>
    </w:p>
    <w:p>
      <w:pPr>
        <w:pStyle w:val="NormalText"/>
        <w:bidi w:val="0"/>
        <w:spacing w:lineRule="auto" w:line="276" w:before="0" w:after="102"/>
        <w:jc w:val="both"/>
        <w:rPr/>
      </w:pPr>
      <w:r>
        <w:rPr>
          <w:rStyle w:val="BoldText"/>
        </w:rPr>
        <w:t xml:space="preserve">SEGUNDO.- </w:t>
      </w:r>
      <w:r>
        <w:rPr/>
        <w:t xml:space="preserve">La unidad de convivencia se encuentra en situación de vulnerabilidad económica y/o social. </w:t>
      </w:r>
      <w:r>
        <w:rPr>
          <w:rStyle w:val="EditableRed"/>
        </w:rPr>
        <w:t>[DESCRIBIR: NÚMERO DE PERSONAS CONVIVIENTES; MENORES; DEPENDENCIA O DISCAPACIDAD; INGRESOS MENSUALES; PRESTACIONES; DESEMPLEO; INFORME DE SERVICIOS SOCIALES; Y CUALQUIER OTRA CIRCUNSTANCIA RELEVANTE.]</w:t>
      </w:r>
    </w:p>
    <w:p>
      <w:pPr>
        <w:pStyle w:val="NormalText"/>
        <w:bidi w:val="0"/>
        <w:spacing w:lineRule="auto" w:line="276" w:before="0" w:after="102"/>
        <w:jc w:val="both"/>
        <w:rPr/>
      </w:pPr>
      <w:r>
        <w:rPr>
          <w:rStyle w:val="BoldText"/>
        </w:rPr>
        <w:t xml:space="preserve">TERCERO.- </w:t>
      </w:r>
      <w:r>
        <w:rPr/>
        <w:t xml:space="preserve">La unidad de convivencia </w:t>
      </w:r>
      <w:r>
        <w:rPr>
          <w:rStyle w:val="BoldText"/>
        </w:rPr>
        <w:t>no dispone de alternativa habitacional adecuada e inmediata</w:t>
      </w:r>
      <w:r>
        <w:rPr/>
        <w:t>, y el lanzamiento produciría la pérdida efectiva de la vivienda habitual antes de que las Administraciones competentes hayan podido adoptar una solución residencial.</w:t>
      </w:r>
    </w:p>
    <w:p>
      <w:pPr>
        <w:pStyle w:val="NormalText"/>
        <w:bidi w:val="0"/>
        <w:spacing w:lineRule="auto" w:line="276" w:before="0" w:after="102"/>
        <w:jc w:val="both"/>
        <w:rPr/>
      </w:pPr>
      <w:r>
        <w:rPr>
          <w:rStyle w:val="BoldText"/>
        </w:rPr>
        <w:t xml:space="preserve">CUARTO.- </w:t>
      </w:r>
      <w:r>
        <w:rPr/>
        <w:t xml:space="preserve">La parte ejecutante/demandante es </w:t>
      </w:r>
      <w:r>
        <w:rPr>
          <w:rStyle w:val="EditableRed"/>
        </w:rPr>
        <w:t>[PERSONA FÍSICA / PERSONA JURÍDICA]</w:t>
      </w:r>
      <w:r>
        <w:rPr/>
        <w:t>. Esta circunstancia es relevante a efectos del plazo máximo de suspensión previsto en el artículo 441.6 de la Ley de Enjuiciamiento Civil.</w:t>
      </w:r>
    </w:p>
    <w:p>
      <w:pPr>
        <w:pStyle w:val="NormalText"/>
        <w:bidi w:val="0"/>
        <w:spacing w:lineRule="auto" w:line="276" w:before="0" w:after="102"/>
        <w:jc w:val="both"/>
        <w:rPr/>
      </w:pPr>
      <w:r>
        <w:rPr>
          <w:rStyle w:val="BoldText"/>
        </w:rPr>
        <w:t xml:space="preserve">QUINTO.- </w:t>
      </w:r>
      <w:r>
        <w:rPr/>
        <w:t xml:space="preserve">En las presentes actuaciones </w:t>
      </w:r>
      <w:r>
        <w:rPr>
          <w:rStyle w:val="EditableRed"/>
        </w:rPr>
        <w:t>[SE HA SEÑALADO / ESTÁ PREVISTO / SE HA DESPACHADO EJECUCIÓN PARA]</w:t>
      </w:r>
      <w:r>
        <w:rPr/>
        <w:t xml:space="preserve"> el lanzamiento de la vivienda para el día </w:t>
      </w:r>
      <w:r>
        <w:rPr>
          <w:rStyle w:val="EditableRed"/>
        </w:rPr>
        <w:t>[FECHA]</w:t>
      </w:r>
      <w:r>
        <w:rPr/>
        <w:t xml:space="preserve"> a las </w:t>
      </w:r>
      <w:r>
        <w:rPr>
          <w:rStyle w:val="EditableRed"/>
        </w:rPr>
        <w:t>[HORA]</w:t>
      </w:r>
      <w:r>
        <w:rPr/>
        <w:t>. Dada la inmediatez y gravedad de la pérdida de la vivienda habitual, se solicita que esta petición se tramite con carácter urgente.</w:t>
      </w:r>
    </w:p>
    <w:p>
      <w:pPr>
        <w:pStyle w:val="NormalText"/>
        <w:bidi w:val="0"/>
        <w:spacing w:lineRule="auto" w:line="276" w:before="0" w:after="102"/>
        <w:jc w:val="both"/>
        <w:rPr/>
      </w:pPr>
      <w:r>
        <w:rPr>
          <w:rStyle w:val="BoldText"/>
        </w:rPr>
        <w:t xml:space="preserve">SEXTO.- </w:t>
      </w:r>
      <w:r>
        <w:rPr>
          <w:rStyle w:val="EditableRed"/>
        </w:rPr>
        <w:t>[SI PROCEDE: INDICAR SI YA EXISTE INFORME DE VULNERABILIDAD, EXPEDIENTE DE MESA DE EMERGENCIA, SOLICITUD DE VIVIENDA, ACTUACIÓN DE OFIDEUTE, INFORME MUNICIPAL O CUALQUIER OTRA GESTIÓN ADMINISTRATIVA EN CURSO. SI NO PROCEDE, ELIMINAR ESTE HECHO.]</w:t>
      </w:r>
    </w:p>
    <w:p>
      <w:pPr>
        <w:pStyle w:val="NormalText"/>
        <w:bidi w:val="0"/>
        <w:spacing w:lineRule="auto" w:line="276" w:before="0" w:after="102"/>
        <w:jc w:val="both"/>
        <w:rPr/>
      </w:pPr>
      <w:r>
        <w:rPr/>
      </w:r>
    </w:p>
    <w:p>
      <w:pPr>
        <w:pStyle w:val="CenterText"/>
        <w:bidi w:val="0"/>
        <w:spacing w:before="0" w:after="85"/>
        <w:jc w:val="center"/>
        <w:rPr/>
      </w:pPr>
      <w:r>
        <w:rPr>
          <w:rStyle w:val="BoldText"/>
        </w:rPr>
        <w:t>FUNDAMENTOS DE DERECHO</w:t>
      </w:r>
    </w:p>
    <w:p>
      <w:pPr>
        <w:pStyle w:val="NormalText"/>
        <w:bidi w:val="0"/>
        <w:spacing w:lineRule="auto" w:line="276" w:before="0" w:after="102"/>
        <w:jc w:val="both"/>
        <w:rPr/>
      </w:pPr>
      <w:r>
        <w:rPr>
          <w:rStyle w:val="BoldText"/>
        </w:rPr>
        <w:t xml:space="preserve">I.- Artículos 441.5, 441.6 y 441.7 de la Ley 1/2000, de Enjuiciamiento Civil. </w:t>
      </w:r>
      <w:r>
        <w:rPr/>
        <w:t>En los procedimientos comprendidos en los supuestos legalmente previstos, cuando el inmueble constituye la vivienda habitual de la parte demandada, el órgano judicial debe comunicar el procedimiento a las Administraciones competentes para que verifiquen la posible situación de vulnerabilidad y, en su caso, propongan las medidas de atención inmediata y una eventual alternativa habitacional. Recibida la información administrativa o transcurrido el plazo legal, el órgano judicial puede acordar la suspensión del proceso para permitir la adopción de dichas medidas.</w:t>
      </w:r>
    </w:p>
    <w:p>
      <w:pPr>
        <w:pStyle w:val="NormalText"/>
        <w:bidi w:val="0"/>
        <w:spacing w:lineRule="auto" w:line="276" w:before="0" w:after="102"/>
        <w:jc w:val="both"/>
        <w:rPr/>
      </w:pPr>
      <w:r>
        <w:rPr>
          <w:rStyle w:val="BoldText"/>
        </w:rPr>
        <w:t xml:space="preserve">II.- Plazo máximo de suspensión del artículo 441.6 LEC. </w:t>
      </w:r>
      <w:r>
        <w:rPr/>
        <w:t>La Ley prevé un plazo máximo de suspensión de dos meses cuando la parte demandante sea persona física y de cuatro meses cuando sea persona jurídica. Por ello, se interesa la suspensión por el plazo que corresponda atendiendo a la naturaleza de la parte ejecutante y a las circunstancias concretas de vulnerabilidad.</w:t>
      </w:r>
    </w:p>
    <w:p>
      <w:pPr>
        <w:pStyle w:val="NormalText"/>
        <w:bidi w:val="0"/>
        <w:spacing w:lineRule="auto" w:line="276" w:before="0" w:after="102"/>
        <w:jc w:val="both"/>
        <w:rPr/>
      </w:pPr>
      <w:r>
        <w:rPr>
          <w:rStyle w:val="BoldText"/>
        </w:rPr>
        <w:t xml:space="preserve">III.- Suspensión urgente de la fecha de lanzamiento. </w:t>
      </w:r>
      <w:r>
        <w:rPr/>
        <w:t>Cuando la proximidad de la fecha de lanzamiento pueda impedir la tramitación efectiva de la valoración de vulnerabilidad, procede interesar que el lanzamiento quede en suspenso mientras se sustancia el incidente y se recaba la información de los servicios públicos competentes.</w:t>
      </w:r>
    </w:p>
    <w:p>
      <w:pPr>
        <w:pStyle w:val="NormalText"/>
        <w:bidi w:val="0"/>
        <w:spacing w:lineRule="auto" w:line="276" w:before="0" w:after="102"/>
        <w:jc w:val="both"/>
        <w:rPr/>
      </w:pPr>
      <w:r>
        <w:rPr>
          <w:rStyle w:val="BoldText"/>
        </w:rPr>
        <w:t xml:space="preserve">IV.- Artículo 549.4 LEC. </w:t>
      </w:r>
      <w:r>
        <w:rPr/>
        <w:t>Cuando se trate de una vivienda habitual, con carácter previo al lanzamiento debe haberse procedido, cuando resulte aplicable, en los términos previstos por los apartados 5, 6 y 7 del artículo 441 LEC. En consecuencia, si no consta una valoración actual y efectiva de la vulnerabilidad y de las medidas residenciales disponibles, se solicita la activación de dicho trámite antes de ejecutar materialmente el lanzamiento.</w:t>
      </w:r>
    </w:p>
    <w:p>
      <w:pPr>
        <w:pStyle w:val="NormalText"/>
        <w:bidi w:val="0"/>
        <w:spacing w:lineRule="auto" w:line="276" w:before="0" w:after="102"/>
        <w:jc w:val="both"/>
        <w:rPr/>
      </w:pPr>
      <w:r>
        <w:rPr>
          <w:rStyle w:val="BoldText"/>
        </w:rPr>
        <w:t xml:space="preserve">V.- Artículo 704.1 LEC, con carácter subsidiario. </w:t>
      </w:r>
      <w:r>
        <w:rPr/>
        <w:t>Cuando el inmueble cuya posesión deba entregarse sea la vivienda habitual del ejecutado o de quienes de él dependan, se prevé un plazo para el desalojo y la posibilidad de una prórroga adicional cuando exista motivo fundado. La situación de vulnerabilidad acreditada, la inexistencia de alternativa habitacional y la necesidad de permitir la actuación de los servicios públicos justifican subsidiariamente la concesión de dicho plazo y, en su caso, de su prórroga.</w:t>
      </w:r>
    </w:p>
    <w:p>
      <w:pPr>
        <w:pStyle w:val="NormalText"/>
        <w:bidi w:val="0"/>
        <w:spacing w:lineRule="auto" w:line="276" w:before="0" w:after="102"/>
        <w:jc w:val="both"/>
        <w:rPr/>
      </w:pPr>
      <w:r>
        <w:rPr>
          <w:rStyle w:val="BoldText"/>
        </w:rPr>
        <w:t xml:space="preserve">VI.- Artículo 5.6 de la Ley catalana 24/2015. </w:t>
      </w:r>
      <w:r>
        <w:rPr/>
        <w:t>Las Administraciones públicas deben garantizar el realojamiento adecuado de las personas y unidades familiares en riesgo de exclusión residencial que se encuentren en proceso de desahucio de su vivienda habitual, en los términos previstos legalmente. Este precepto refuerza la necesidad de dar traslado urgente a los servicios de vivienda y servicios sociales competentes para que concreten las medidas disponibles antes del lanzamiento.</w:t>
      </w:r>
    </w:p>
    <w:p>
      <w:pPr>
        <w:pStyle w:val="NormalText"/>
        <w:bidi w:val="0"/>
        <w:spacing w:lineRule="auto" w:line="276" w:before="0" w:after="102"/>
        <w:jc w:val="both"/>
        <w:rPr/>
      </w:pPr>
      <w:r>
        <w:rPr/>
      </w:r>
    </w:p>
    <w:p>
      <w:pPr>
        <w:pStyle w:val="CenterText"/>
        <w:bidi w:val="0"/>
        <w:spacing w:before="0" w:after="85"/>
        <w:jc w:val="center"/>
        <w:rPr/>
      </w:pPr>
      <w:r>
        <w:rPr>
          <w:rStyle w:val="BoldText"/>
        </w:rPr>
        <w:t>SUPLICO AL JUZGADO</w:t>
      </w:r>
    </w:p>
    <w:p>
      <w:pPr>
        <w:pStyle w:val="NormalText"/>
        <w:bidi w:val="0"/>
        <w:spacing w:lineRule="auto" w:line="276" w:before="0" w:after="102"/>
        <w:jc w:val="both"/>
        <w:rPr/>
      </w:pPr>
      <w:r>
        <w:rPr>
          <w:rStyle w:val="BoldText"/>
        </w:rPr>
        <w:t xml:space="preserve">1. </w:t>
      </w:r>
      <w:r>
        <w:rPr/>
        <w:t>Que tenga por presentado este escrito y por formulada SOLICITUD URGENTE DE SUSPENSIÓN DEL LANZAMIENTO por situación de vulnerabilidad.</w:t>
      </w:r>
    </w:p>
    <w:p>
      <w:pPr>
        <w:pStyle w:val="NormalText"/>
        <w:bidi w:val="0"/>
        <w:spacing w:lineRule="auto" w:line="276" w:before="0" w:after="102"/>
        <w:jc w:val="both"/>
        <w:rPr/>
      </w:pPr>
      <w:r>
        <w:rPr>
          <w:rStyle w:val="BoldText"/>
        </w:rPr>
        <w:t xml:space="preserve">2. </w:t>
      </w:r>
      <w:r>
        <w:rPr/>
        <w:t>Que, con carácter inmediato y antes de la práctica de cualquier lanzamiento, se deje en suspenso provisionalmente la fecha señalada —o se acuerde no señalarla— hasta que se tramite y resuelva el incidente de vulnerabilidad previsto legalmente.</w:t>
      </w:r>
    </w:p>
    <w:p>
      <w:pPr>
        <w:pStyle w:val="NormalText"/>
        <w:bidi w:val="0"/>
        <w:spacing w:lineRule="auto" w:line="276" w:before="0" w:after="102"/>
        <w:jc w:val="both"/>
        <w:rPr/>
      </w:pPr>
      <w:r>
        <w:rPr>
          <w:rStyle w:val="BoldText"/>
        </w:rPr>
        <w:t xml:space="preserve">3. </w:t>
      </w:r>
      <w:r>
        <w:rPr/>
        <w:t>Que se libre comunicación urgente a los Servicios Sociales y a la Administración competente en materia de vivienda para que informen sobre la situación de vulnerabilidad de la unidad de convivencia, la inexistencia de alternativa habitacional y las medidas o recursos residenciales que puedan adoptarse.</w:t>
      </w:r>
    </w:p>
    <w:p>
      <w:pPr>
        <w:pStyle w:val="NormalText"/>
        <w:bidi w:val="0"/>
        <w:spacing w:lineRule="auto" w:line="276" w:before="0" w:after="102"/>
        <w:jc w:val="both"/>
        <w:rPr/>
      </w:pPr>
      <w:r>
        <w:rPr>
          <w:rStyle w:val="BoldText"/>
        </w:rPr>
        <w:t xml:space="preserve">4. </w:t>
      </w:r>
      <w:r>
        <w:rPr/>
        <w:t>Que, una vez recibida dicha información y oídas las partes, se dicte resolución acordando la suspensión del procedimiento y del lanzamiento por el plazo necesario para la adopción de las medidas administrativas, dentro del límite legal aplicable: hasta dos meses cuando la parte demandante sea persona física y hasta cuatro meses cuando sea persona jurídica.</w:t>
      </w:r>
    </w:p>
    <w:p>
      <w:pPr>
        <w:pStyle w:val="NormalText"/>
        <w:bidi w:val="0"/>
        <w:spacing w:lineRule="auto" w:line="276" w:before="0" w:after="102"/>
        <w:jc w:val="both"/>
        <w:rPr/>
      </w:pPr>
      <w:r>
        <w:rPr>
          <w:rStyle w:val="BoldText"/>
        </w:rPr>
        <w:t xml:space="preserve">5. </w:t>
      </w:r>
      <w:r>
        <w:rPr/>
        <w:t>Subsidiariamente, para el caso de no estimarse la suspensión anterior o de haberse agotado previamente dicho trámite, que se conceda el plazo previsto en el artículo 704.1 LEC para el desalojo de la vivienda habitual y, por concurrir motivo fundado, se acuerde su prórroga adicional.</w:t>
      </w:r>
    </w:p>
    <w:p>
      <w:pPr>
        <w:pStyle w:val="NormalText"/>
        <w:bidi w:val="0"/>
        <w:spacing w:lineRule="auto" w:line="276" w:before="0" w:after="102"/>
        <w:jc w:val="both"/>
        <w:rPr/>
      </w:pPr>
      <w:r>
        <w:rPr/>
      </w:r>
    </w:p>
    <w:p>
      <w:pPr>
        <w:pStyle w:val="CenterText"/>
        <w:bidi w:val="0"/>
        <w:spacing w:before="0" w:after="85"/>
        <w:jc w:val="center"/>
        <w:rPr/>
      </w:pPr>
      <w:r>
        <w:rPr>
          <w:rStyle w:val="BoldText"/>
        </w:rPr>
        <w:t>OTROSÍ DIGO</w:t>
      </w:r>
    </w:p>
    <w:p>
      <w:pPr>
        <w:pStyle w:val="NormalText"/>
        <w:bidi w:val="0"/>
        <w:spacing w:lineRule="auto" w:line="276" w:before="0" w:after="102"/>
        <w:jc w:val="both"/>
        <w:rPr/>
      </w:pPr>
      <w:r>
        <w:rPr/>
        <w:t xml:space="preserve">Que, dada la naturaleza de la medida solicitada y el riesgo de que el lanzamiento se ejecute antes de que pueda resolverse sobre la vulnerabilidad, se interesa que la presente petición sea proveída </w:t>
      </w:r>
      <w:r>
        <w:rPr>
          <w:rStyle w:val="BoldText"/>
        </w:rPr>
        <w:t>con carácter urgente</w:t>
      </w:r>
      <w:r>
        <w:rPr/>
        <w:t xml:space="preserve"> y que cualquier acuerdo de suspensión se comunique inmediatamente al servicio o unidad encargada materialmente del lanzamiento.</w:t>
      </w:r>
    </w:p>
    <w:p>
      <w:pPr>
        <w:pStyle w:val="NormalText"/>
        <w:bidi w:val="0"/>
        <w:spacing w:lineRule="auto" w:line="276" w:before="0" w:after="102"/>
        <w:jc w:val="both"/>
        <w:rPr/>
      </w:pPr>
      <w:r>
        <w:rPr>
          <w:rStyle w:val="BoldText"/>
        </w:rPr>
        <w:t>SUPLICO AL JUZGADO que así lo acuerde.</w:t>
      </w:r>
    </w:p>
    <w:p>
      <w:pPr>
        <w:pStyle w:val="NormalText"/>
        <w:bidi w:val="0"/>
        <w:spacing w:lineRule="auto" w:line="276" w:before="0" w:after="102"/>
        <w:jc w:val="both"/>
        <w:rPr/>
      </w:pPr>
      <w:r>
        <w:rPr/>
      </w:r>
    </w:p>
    <w:p>
      <w:pPr>
        <w:pStyle w:val="LeftText"/>
        <w:bidi w:val="0"/>
        <w:spacing w:before="0" w:after="57"/>
        <w:jc w:val="left"/>
        <w:rPr/>
      </w:pPr>
      <w:r>
        <w:rPr/>
        <w:t xml:space="preserve">En </w:t>
      </w:r>
      <w:r>
        <w:rPr>
          <w:rStyle w:val="EditableRed"/>
        </w:rPr>
        <w:t>[LOCALIDAD]</w:t>
      </w:r>
      <w:r>
        <w:rPr/>
        <w:t xml:space="preserve">, a </w:t>
      </w:r>
      <w:r>
        <w:rPr>
          <w:rStyle w:val="EditableRed"/>
        </w:rPr>
        <w:t>[FECHA]</w:t>
      </w:r>
      <w:r>
        <w:rPr/>
        <w:t>.</w:t>
      </w:r>
    </w:p>
    <w:p>
      <w:pPr>
        <w:pStyle w:val="NormalText"/>
        <w:bidi w:val="0"/>
        <w:spacing w:lineRule="auto" w:line="276" w:before="0" w:after="102"/>
        <w:jc w:val="both"/>
        <w:rPr/>
      </w:pPr>
      <w:r>
        <w:rPr/>
      </w:r>
    </w:p>
    <w:p>
      <w:pPr>
        <w:pStyle w:val="LeftText"/>
        <w:bidi w:val="0"/>
        <w:spacing w:before="0" w:after="57"/>
        <w:jc w:val="left"/>
        <w:rPr/>
      </w:pPr>
      <w:r>
        <w:rPr>
          <w:rStyle w:val="BoldText"/>
        </w:rPr>
        <w:t xml:space="preserve">FIRMA DE LA PARTE: </w:t>
      </w:r>
      <w:r>
        <w:rPr>
          <w:rStyle w:val="EditableRed"/>
        </w:rPr>
        <w:t>[NOMBRE Y FIRMA]</w:t>
      </w:r>
    </w:p>
    <w:p>
      <w:pPr>
        <w:pStyle w:val="LeftText"/>
        <w:bidi w:val="0"/>
        <w:spacing w:before="0" w:after="57"/>
        <w:jc w:val="left"/>
        <w:rPr/>
      </w:pPr>
      <w:r>
        <w:rPr>
          <w:rStyle w:val="BoldText"/>
        </w:rPr>
        <w:t xml:space="preserve">LETRADO/A: </w:t>
      </w:r>
      <w:r>
        <w:rPr>
          <w:rStyle w:val="EditableRed"/>
        </w:rPr>
        <w:t>[NOMBRE / Nº COLEGIADO, SI PROCEDE]</w:t>
      </w:r>
    </w:p>
    <w:p>
      <w:pPr>
        <w:pStyle w:val="LeftText"/>
        <w:bidi w:val="0"/>
        <w:spacing w:before="0" w:after="57"/>
        <w:jc w:val="left"/>
        <w:rPr/>
      </w:pPr>
      <w:r>
        <w:rPr>
          <w:rStyle w:val="BoldText"/>
        </w:rPr>
        <w:t xml:space="preserve">PROCURADOR/A: </w:t>
      </w:r>
      <w:r>
        <w:rPr>
          <w:rStyle w:val="EditableRed"/>
        </w:rPr>
        <w:t>[NOMBRE, SI PROCEDE]</w:t>
      </w:r>
    </w:p>
    <w:p>
      <w:pPr>
        <w:pStyle w:val="NormalText"/>
        <w:bidi w:val="0"/>
        <w:spacing w:lineRule="auto" w:line="276" w:before="0" w:after="102"/>
        <w:jc w:val="both"/>
        <w:rPr/>
      </w:pPr>
      <w:r>
        <w:rPr/>
      </w:r>
    </w:p>
    <w:p>
      <w:pPr>
        <w:pStyle w:val="LeftText"/>
        <w:bidi w:val="0"/>
        <w:spacing w:before="0" w:after="57"/>
        <w:jc w:val="left"/>
        <w:rPr/>
      </w:pPr>
      <w:r>
        <w:rPr>
          <w:rStyle w:val="BoldText"/>
        </w:rPr>
        <w:t>DOCUMENTACIÓN QUE CONVIENE ACOMPAÑAR</w:t>
      </w:r>
    </w:p>
    <w:p>
      <w:pPr>
        <w:pStyle w:val="LeftText"/>
        <w:bidi w:val="0"/>
        <w:spacing w:before="0" w:after="57"/>
        <w:jc w:val="left"/>
        <w:rPr/>
      </w:pPr>
      <w:r>
        <w:rPr/>
        <w:t xml:space="preserve">• </w:t>
      </w:r>
      <w:r>
        <w:rPr/>
        <w:t>Informe o certificado de vulnerabilidad de Servicios Sociales, si ya existe.</w:t>
      </w:r>
    </w:p>
    <w:p>
      <w:pPr>
        <w:pStyle w:val="LeftText"/>
        <w:bidi w:val="0"/>
        <w:spacing w:before="0" w:after="57"/>
        <w:jc w:val="left"/>
        <w:rPr/>
      </w:pPr>
      <w:r>
        <w:rPr/>
        <w:t xml:space="preserve">• </w:t>
      </w:r>
      <w:r>
        <w:rPr/>
        <w:t>Volante o certificado de empadronamiento colectivo en la vivienda.</w:t>
      </w:r>
    </w:p>
    <w:p>
      <w:pPr>
        <w:pStyle w:val="LeftText"/>
        <w:bidi w:val="0"/>
        <w:spacing w:before="0" w:after="57"/>
        <w:jc w:val="left"/>
        <w:rPr/>
      </w:pPr>
      <w:r>
        <w:rPr/>
        <w:t xml:space="preserve">• </w:t>
      </w:r>
      <w:r>
        <w:rPr/>
        <w:t>Documentación de ingresos y prestaciones de todos los miembros de la unidad de convivencia.</w:t>
      </w:r>
    </w:p>
    <w:p>
      <w:pPr>
        <w:pStyle w:val="LeftText"/>
        <w:bidi w:val="0"/>
        <w:spacing w:before="0" w:after="57"/>
        <w:jc w:val="left"/>
        <w:rPr/>
      </w:pPr>
      <w:r>
        <w:rPr/>
        <w:t xml:space="preserve">• </w:t>
      </w:r>
      <w:r>
        <w:rPr/>
        <w:t>Libro de familia o certificados de nacimiento, si hay menores.</w:t>
      </w:r>
    </w:p>
    <w:p>
      <w:pPr>
        <w:pStyle w:val="LeftText"/>
        <w:bidi w:val="0"/>
        <w:spacing w:before="0" w:after="57"/>
        <w:jc w:val="left"/>
        <w:rPr/>
      </w:pPr>
      <w:r>
        <w:rPr/>
        <w:t xml:space="preserve">• </w:t>
      </w:r>
      <w:r>
        <w:rPr/>
        <w:t>Resoluciones o solicitudes de Mesa de Emergencia, vivienda social, Ofideute u otros recursos, si existen.</w:t>
      </w:r>
    </w:p>
    <w:p>
      <w:pPr>
        <w:pStyle w:val="LeftText"/>
        <w:bidi w:val="0"/>
        <w:spacing w:before="0" w:after="57"/>
        <w:jc w:val="left"/>
        <w:rPr/>
      </w:pPr>
      <w:r>
        <w:rPr/>
        <w:t xml:space="preserve">• </w:t>
      </w:r>
      <w:r>
        <w:rPr/>
        <w:t>Resolución judicial que señale el lanzamiento, si ya ha sido notificada.</w:t>
      </w:r>
    </w:p>
    <w:p>
      <w:pPr>
        <w:pStyle w:val="LeftText"/>
        <w:bidi w:val="0"/>
        <w:spacing w:before="0" w:after="57"/>
        <w:jc w:val="left"/>
        <w:rPr/>
      </w:pPr>
      <w:r>
        <w:rPr/>
        <w:t xml:space="preserve">• </w:t>
      </w:r>
      <w:r>
        <w:rPr/>
        <w:t>Informes que acrediten dependencia, discapacidad, violencia de género u otras circunstancias sociales relevantes, si concurren.</w:t>
      </w:r>
    </w:p>
    <w:p>
      <w:pPr>
        <w:pStyle w:val="NormalText"/>
        <w:bidi w:val="0"/>
        <w:spacing w:lineRule="auto" w:line="276" w:before="0" w:after="102"/>
        <w:jc w:val="both"/>
        <w:rPr/>
      </w:pPr>
      <w:r>
        <w:rPr/>
      </w:r>
    </w:p>
    <w:p>
      <w:pPr>
        <w:pStyle w:val="CenterText"/>
        <w:bidi w:val="0"/>
        <w:spacing w:before="0" w:after="85"/>
        <w:jc w:val="center"/>
        <w:rPr/>
      </w:pPr>
      <w:r>
        <w:rPr>
          <w:rStyle w:val="SmallRed"/>
        </w:rPr>
        <w:t>ANTES DE PRESENTAR: REVISAR Y ELIMINAR TODAS LAS INDICACIONES ENTRE CORCHETES QUE NO PROCEDAN. COMPROBAR QUE NO QUEDE NINGÚN TEXTO EN ROJO SIN COMPLETAR.</w:t>
      </w:r>
    </w:p>
    <w:sectPr>
      <w:type w:val="nextPage"/>
      <w:pgSz w:w="11906" w:h="16838"/>
      <w:pgMar w:left="1417" w:right="1417" w:gutter="0" w:header="0" w:top="1247" w:footer="0" w:bottom="124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s>
</file>

<file path=word/settings.xml><?xml version="1.0" encoding="utf-8"?>
<w:settings xmlns:w="http://schemas.openxmlformats.org/wordprocessingml/2006/main">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color w:val="000000"/>
        <w:sz w:val="24"/>
        <w:szCs w:val="24"/>
        <w:lang w:val="en-US" w:eastAsia="zh-CN" w:bidi="hi-IN"/>
      </w:rPr>
    </w:rPrDefault>
    <w:pPrDefault>
      <w:pPr>
        <w:suppressAutoHyphens w:val="true"/>
      </w:pPr>
    </w:pPrDefault>
  </w:docDefaults>
  <w:style w:type="paragraph" w:styleId="Normal">
    <w:name w:val="Normal"/>
    <w:qFormat/>
    <w:pPr>
      <w:widowControl w:val="false"/>
      <w:bidi w:val="0"/>
    </w:pPr>
    <w:rPr>
      <w:sz w:val="24"/>
      <w:lang w:val="en-US" w:eastAsia="zh-CN" w:bidi="hi-IN"/>
    </w:rPr>
  </w:style>
  <w:style w:type="character" w:styleId="BoldText">
    <w:name w:val="BoldText"/>
    <w:qFormat/>
    <w:rPr>
      <w:b/>
    </w:rPr>
  </w:style>
  <w:style w:type="character" w:styleId="EditableRed">
    <w:name w:val="EditableRed"/>
    <w:qFormat/>
    <w:rPr>
      <w:b/>
      <w:color w:val="D00000"/>
    </w:rPr>
  </w:style>
  <w:style w:type="character" w:styleId="ItalicText">
    <w:name w:val="ItalicText"/>
    <w:qFormat/>
    <w:rPr>
      <w:i/>
    </w:rPr>
  </w:style>
  <w:style w:type="character" w:styleId="SmallRed">
    <w:name w:val="SmallRed"/>
    <w:qFormat/>
    <w:rPr>
      <w:b/>
      <w:color w:val="D00000"/>
      <w:sz w:val="21"/>
    </w:rPr>
  </w:style>
  <w:style w:type="paragraph" w:styleId="NormalText">
    <w:name w:val="NormalText"/>
    <w:qFormat/>
    <w:pPr>
      <w:widowControl w:val="false"/>
      <w:bidi w:val="0"/>
      <w:spacing w:lineRule="auto" w:line="276" w:before="0" w:after="102"/>
      <w:jc w:val="both"/>
    </w:pPr>
    <w:rPr>
      <w:sz w:val="24"/>
      <w:lang w:val="en-US" w:eastAsia="zh-CN" w:bidi="hi-IN"/>
    </w:rPr>
  </w:style>
  <w:style w:type="paragraph" w:styleId="CenterText">
    <w:name w:val="CenterText"/>
    <w:qFormat/>
    <w:pPr>
      <w:widowControl w:val="false"/>
      <w:bidi w:val="0"/>
      <w:spacing w:before="0" w:after="85"/>
      <w:jc w:val="center"/>
    </w:pPr>
    <w:rPr>
      <w:sz w:val="24"/>
      <w:lang w:val="en-US" w:eastAsia="zh-CN" w:bidi="hi-IN"/>
    </w:rPr>
  </w:style>
  <w:style w:type="paragraph" w:styleId="LeftText">
    <w:name w:val="LeftText"/>
    <w:qFormat/>
    <w:pPr>
      <w:widowControl w:val="false"/>
      <w:bidi w:val="0"/>
      <w:spacing w:before="0" w:after="57"/>
      <w:jc w:val="left"/>
    </w:pPr>
    <w:rPr>
      <w:sz w:val="24"/>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